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7D32" w14:textId="22995247" w:rsidR="000A39D0" w:rsidRPr="00E03EBF" w:rsidRDefault="000A39D0" w:rsidP="00E03EBF">
      <w:pPr>
        <w:spacing w:after="0" w:line="240" w:lineRule="auto"/>
        <w:jc w:val="center"/>
        <w:rPr>
          <w:b/>
          <w:sz w:val="26"/>
          <w:szCs w:val="26"/>
        </w:rPr>
      </w:pPr>
      <w:r w:rsidRPr="00E03EBF">
        <w:rPr>
          <w:b/>
          <w:sz w:val="26"/>
          <w:szCs w:val="26"/>
        </w:rPr>
        <w:t xml:space="preserve">Society for Museum Archaeology </w:t>
      </w:r>
      <w:r w:rsidR="00314AA0">
        <w:rPr>
          <w:b/>
          <w:sz w:val="26"/>
          <w:szCs w:val="26"/>
        </w:rPr>
        <w:t>grant</w:t>
      </w:r>
      <w:r w:rsidR="00314AA0" w:rsidRPr="00E03EBF">
        <w:rPr>
          <w:b/>
          <w:sz w:val="26"/>
          <w:szCs w:val="26"/>
        </w:rPr>
        <w:t xml:space="preserve"> </w:t>
      </w:r>
      <w:r w:rsidRPr="00E03EBF">
        <w:rPr>
          <w:b/>
          <w:sz w:val="26"/>
          <w:szCs w:val="26"/>
        </w:rPr>
        <w:t>awards</w:t>
      </w:r>
    </w:p>
    <w:p w14:paraId="0BA2DE02" w14:textId="77777777" w:rsidR="000A39D0" w:rsidRDefault="000A39D0" w:rsidP="000A39D0">
      <w:pPr>
        <w:spacing w:after="0" w:line="240" w:lineRule="auto"/>
      </w:pPr>
    </w:p>
    <w:p w14:paraId="022B9A11" w14:textId="77777777" w:rsidR="000C3DE9" w:rsidRPr="000C3DE9" w:rsidRDefault="000C3DE9" w:rsidP="00EF3DC2">
      <w:pPr>
        <w:spacing w:after="0" w:line="240" w:lineRule="auto"/>
        <w:rPr>
          <w:b/>
        </w:rPr>
      </w:pPr>
      <w:r w:rsidRPr="000C3DE9">
        <w:rPr>
          <w:b/>
        </w:rPr>
        <w:t>Aims</w:t>
      </w:r>
    </w:p>
    <w:p w14:paraId="5DC23F83" w14:textId="77777777" w:rsidR="00EF3DC2" w:rsidRDefault="000A39D0" w:rsidP="00EF3DC2">
      <w:pPr>
        <w:spacing w:after="0" w:line="240" w:lineRule="auto"/>
      </w:pPr>
      <w:r>
        <w:t xml:space="preserve">The </w:t>
      </w:r>
      <w:r w:rsidR="00E03EBF">
        <w:t>Society for Museum Archaeology (SMA)</w:t>
      </w:r>
      <w:r>
        <w:t xml:space="preserve"> are pleased to offer funding awards up to the value of </w:t>
      </w:r>
      <w:r w:rsidR="00E03EBF">
        <w:t>£750</w:t>
      </w:r>
      <w:r>
        <w:t xml:space="preserve"> </w:t>
      </w:r>
      <w:r w:rsidR="00E03EBF">
        <w:t xml:space="preserve">annually </w:t>
      </w:r>
      <w:r>
        <w:t xml:space="preserve">to be spent on </w:t>
      </w:r>
      <w:r w:rsidR="00EF3DC2">
        <w:t>discrete projects or activities that fulfil one or more of the following aims:</w:t>
      </w:r>
    </w:p>
    <w:p w14:paraId="517170C5" w14:textId="0E603F2D" w:rsidR="00E03EBF" w:rsidRDefault="00B02A94" w:rsidP="00EF3DC2">
      <w:pPr>
        <w:pStyle w:val="ListParagraph"/>
        <w:numPr>
          <w:ilvl w:val="0"/>
          <w:numId w:val="5"/>
        </w:numPr>
        <w:spacing w:after="0" w:line="240" w:lineRule="auto"/>
      </w:pPr>
      <w:r>
        <w:t>Fill</w:t>
      </w:r>
      <w:r w:rsidR="00E03EBF">
        <w:t xml:space="preserve"> gaps in expertise</w:t>
      </w:r>
      <w:r>
        <w:t xml:space="preserve"> and contribute to professional development in the field of museum archaeology</w:t>
      </w:r>
      <w:r w:rsidR="006D1C58">
        <w:t xml:space="preserve"> </w:t>
      </w:r>
    </w:p>
    <w:p w14:paraId="080019AD" w14:textId="77777777" w:rsidR="00EF3DC2" w:rsidRDefault="00EF3DC2" w:rsidP="00EF3DC2">
      <w:pPr>
        <w:pStyle w:val="ListParagraph"/>
        <w:numPr>
          <w:ilvl w:val="0"/>
          <w:numId w:val="5"/>
        </w:numPr>
        <w:spacing w:after="0" w:line="240" w:lineRule="auto"/>
      </w:pPr>
      <w:r>
        <w:t>Improve understand</w:t>
      </w:r>
      <w:r w:rsidR="00B02A94">
        <w:t>ing</w:t>
      </w:r>
      <w:r>
        <w:t xml:space="preserve"> and increase knowledge of archaeological museum collections </w:t>
      </w:r>
    </w:p>
    <w:p w14:paraId="06E5B660" w14:textId="7AAC286C" w:rsidR="00EF3DC2" w:rsidRDefault="00EF3DC2" w:rsidP="00EF3DC2">
      <w:pPr>
        <w:pStyle w:val="ListParagraph"/>
        <w:numPr>
          <w:ilvl w:val="0"/>
          <w:numId w:val="5"/>
        </w:numPr>
        <w:spacing w:after="0" w:line="240" w:lineRule="auto"/>
      </w:pPr>
      <w:r>
        <w:t>Improve levels of access to</w:t>
      </w:r>
      <w:r w:rsidR="00E8171E">
        <w:t xml:space="preserve"> and </w:t>
      </w:r>
      <w:r w:rsidR="00635339">
        <w:t xml:space="preserve">engagement </w:t>
      </w:r>
      <w:r w:rsidR="00E8171E">
        <w:t xml:space="preserve">with </w:t>
      </w:r>
      <w:r>
        <w:t>archaeological museum collections</w:t>
      </w:r>
    </w:p>
    <w:p w14:paraId="35924104" w14:textId="77777777" w:rsidR="00EF3DC2" w:rsidRDefault="00EF3DC2" w:rsidP="00EF3DC2">
      <w:pPr>
        <w:pStyle w:val="ListParagraph"/>
        <w:numPr>
          <w:ilvl w:val="0"/>
          <w:numId w:val="5"/>
        </w:numPr>
        <w:spacing w:after="0" w:line="240" w:lineRule="auto"/>
      </w:pPr>
      <w:r>
        <w:t xml:space="preserve">Improve management, care or storage conditions </w:t>
      </w:r>
      <w:r w:rsidR="00B02A94">
        <w:t>of</w:t>
      </w:r>
      <w:r>
        <w:t xml:space="preserve"> archaeological museum collections</w:t>
      </w:r>
    </w:p>
    <w:p w14:paraId="73E8010F" w14:textId="7D1F0FDC" w:rsidR="00EF3DC2" w:rsidRDefault="00635339" w:rsidP="00EF3DC2">
      <w:pPr>
        <w:pStyle w:val="ListParagraph"/>
        <w:numPr>
          <w:ilvl w:val="0"/>
          <w:numId w:val="5"/>
        </w:numPr>
        <w:spacing w:after="0" w:line="240" w:lineRule="auto"/>
      </w:pPr>
      <w:r>
        <w:t xml:space="preserve">Decolonisation of </w:t>
      </w:r>
      <w:r w:rsidR="00EF3DC2">
        <w:t>archaeological museum collections</w:t>
      </w:r>
    </w:p>
    <w:p w14:paraId="2BB05DDD" w14:textId="77777777" w:rsidR="00314AA0" w:rsidRDefault="00314AA0" w:rsidP="00314AA0">
      <w:pPr>
        <w:pStyle w:val="ListParagraph"/>
        <w:spacing w:after="0" w:line="240" w:lineRule="auto"/>
      </w:pPr>
    </w:p>
    <w:p w14:paraId="267D83A1" w14:textId="21FADA30" w:rsidR="000A39D0" w:rsidRDefault="006D1C58" w:rsidP="000A39D0">
      <w:pPr>
        <w:spacing w:after="0" w:line="240" w:lineRule="auto"/>
      </w:pPr>
      <w:r>
        <w:t xml:space="preserve">We expect </w:t>
      </w:r>
      <w:r w:rsidR="00314AA0" w:rsidRPr="00314AA0">
        <w:rPr>
          <w:i/>
        </w:rPr>
        <w:t>all projects</w:t>
      </w:r>
      <w:r w:rsidR="00314AA0">
        <w:t xml:space="preserve"> to have</w:t>
      </w:r>
      <w:r>
        <w:t xml:space="preserve"> specific output</w:t>
      </w:r>
      <w:r w:rsidR="00314AA0">
        <w:t>s relating</w:t>
      </w:r>
      <w:r>
        <w:t xml:space="preserve"> to the wider museum archaeology community.</w:t>
      </w:r>
    </w:p>
    <w:p w14:paraId="382F6F9C" w14:textId="77777777" w:rsidR="000A39D0" w:rsidRDefault="000A39D0" w:rsidP="000A39D0">
      <w:pPr>
        <w:spacing w:after="0" w:line="240" w:lineRule="auto"/>
      </w:pPr>
    </w:p>
    <w:p w14:paraId="4B5E8907" w14:textId="68F7274C" w:rsidR="000A39D0" w:rsidRDefault="000A39D0" w:rsidP="000A39D0">
      <w:pPr>
        <w:spacing w:after="0" w:line="240" w:lineRule="auto"/>
      </w:pPr>
      <w:r>
        <w:t xml:space="preserve">Applications </w:t>
      </w:r>
      <w:r w:rsidR="00EF3DC2">
        <w:t>should demonstrate how their</w:t>
      </w:r>
      <w:r>
        <w:t xml:space="preserve"> project</w:t>
      </w:r>
      <w:r w:rsidR="000C3DE9">
        <w:t xml:space="preserve"> or activity</w:t>
      </w:r>
      <w:r>
        <w:t xml:space="preserve"> champion</w:t>
      </w:r>
      <w:r w:rsidR="00EF3DC2">
        <w:t>s</w:t>
      </w:r>
      <w:r>
        <w:t xml:space="preserve"> one or more of the Society’s </w:t>
      </w:r>
      <w:r w:rsidR="00E8171E">
        <w:t>aims</w:t>
      </w:r>
      <w:r w:rsidR="00314AA0">
        <w:t>,</w:t>
      </w:r>
      <w:r w:rsidR="00E8171E">
        <w:t xml:space="preserve"> </w:t>
      </w:r>
      <w:r>
        <w:t>which are to:</w:t>
      </w:r>
    </w:p>
    <w:p w14:paraId="30682C3B" w14:textId="5851245E" w:rsidR="000A39D0" w:rsidRDefault="000A39D0" w:rsidP="000C3DE9">
      <w:pPr>
        <w:pStyle w:val="ListParagraph"/>
        <w:numPr>
          <w:ilvl w:val="0"/>
          <w:numId w:val="6"/>
        </w:numPr>
        <w:spacing w:after="0" w:line="240" w:lineRule="auto"/>
      </w:pPr>
      <w:r>
        <w:t>Promote greater public understanding of the archaeological past and a fuller public appreciation of the importance of archaeology</w:t>
      </w:r>
      <w:r w:rsidR="00314AA0">
        <w:t xml:space="preserve"> (e.g.</w:t>
      </w:r>
      <w:r w:rsidR="006D1C58">
        <w:t xml:space="preserve"> publication)</w:t>
      </w:r>
    </w:p>
    <w:p w14:paraId="76E6672E" w14:textId="3BED1346" w:rsidR="00E8171E" w:rsidRDefault="00E8171E" w:rsidP="000C3DE9">
      <w:pPr>
        <w:pStyle w:val="ListParagraph"/>
        <w:numPr>
          <w:ilvl w:val="0"/>
          <w:numId w:val="6"/>
        </w:numPr>
        <w:spacing w:after="0" w:line="240" w:lineRule="auto"/>
        <w:rPr>
          <w:rFonts w:cstheme="minorHAnsi"/>
          <w:color w:val="000000" w:themeColor="text1"/>
        </w:rPr>
      </w:pPr>
      <w:r w:rsidRPr="00E8171E">
        <w:rPr>
          <w:rFonts w:cstheme="minorHAnsi"/>
          <w:color w:val="000000" w:themeColor="text1"/>
          <w:shd w:val="clear" w:color="auto" w:fill="FFFFFF"/>
        </w:rPr>
        <w:t>Enable museum staff and volunteers to develop the skills to work with archaeological collections proactively and confidently across collections care, interpretation</w:t>
      </w:r>
      <w:r w:rsidR="00314AA0">
        <w:rPr>
          <w:rFonts w:cstheme="minorHAnsi"/>
          <w:color w:val="000000" w:themeColor="text1"/>
          <w:shd w:val="clear" w:color="auto" w:fill="FFFFFF"/>
        </w:rPr>
        <w:t>,</w:t>
      </w:r>
      <w:r w:rsidRPr="00E8171E">
        <w:rPr>
          <w:rFonts w:cstheme="minorHAnsi"/>
          <w:color w:val="000000" w:themeColor="text1"/>
          <w:shd w:val="clear" w:color="auto" w:fill="FFFFFF"/>
        </w:rPr>
        <w:t xml:space="preserve"> and public access.</w:t>
      </w:r>
      <w:r w:rsidR="006D1C58">
        <w:rPr>
          <w:rFonts w:cstheme="minorHAnsi"/>
          <w:color w:val="000000" w:themeColor="text1"/>
          <w:shd w:val="clear" w:color="auto" w:fill="FFFFFF"/>
        </w:rPr>
        <w:t xml:space="preserve"> (</w:t>
      </w:r>
      <w:r w:rsidR="00635339">
        <w:rPr>
          <w:rFonts w:cstheme="minorHAnsi"/>
          <w:color w:val="000000" w:themeColor="text1"/>
          <w:shd w:val="clear" w:color="auto" w:fill="FFFFFF"/>
        </w:rPr>
        <w:t xml:space="preserve">e.g. </w:t>
      </w:r>
      <w:r w:rsidR="006D1C58">
        <w:rPr>
          <w:rFonts w:cstheme="minorHAnsi"/>
          <w:color w:val="000000" w:themeColor="text1"/>
          <w:shd w:val="clear" w:color="auto" w:fill="FFFFFF"/>
        </w:rPr>
        <w:t>developing toolkits, running engagement and/or training events)</w:t>
      </w:r>
    </w:p>
    <w:p w14:paraId="0F303D2C" w14:textId="447A548C" w:rsidR="00E8171E" w:rsidRDefault="00E8171E" w:rsidP="000C3DE9">
      <w:pPr>
        <w:pStyle w:val="ListParagraph"/>
        <w:numPr>
          <w:ilvl w:val="0"/>
          <w:numId w:val="6"/>
        </w:numPr>
        <w:spacing w:after="0" w:line="240" w:lineRule="auto"/>
        <w:rPr>
          <w:rFonts w:cstheme="minorHAnsi"/>
          <w:color w:val="000000" w:themeColor="text1"/>
        </w:rPr>
      </w:pPr>
      <w:r w:rsidRPr="00E8171E">
        <w:rPr>
          <w:rFonts w:cstheme="minorHAnsi"/>
          <w:color w:val="000000" w:themeColor="text1"/>
          <w:shd w:val="clear" w:color="auto" w:fill="FFFFFF"/>
        </w:rPr>
        <w:t>Connect museum st</w:t>
      </w:r>
      <w:r w:rsidR="00314AA0">
        <w:rPr>
          <w:rFonts w:cstheme="minorHAnsi"/>
          <w:color w:val="000000" w:themeColor="text1"/>
          <w:shd w:val="clear" w:color="auto" w:fill="FFFFFF"/>
        </w:rPr>
        <w:t>aff and volunteers with subject-</w:t>
      </w:r>
      <w:r w:rsidRPr="00E8171E">
        <w:rPr>
          <w:rFonts w:cstheme="minorHAnsi"/>
          <w:color w:val="000000" w:themeColor="text1"/>
          <w:shd w:val="clear" w:color="auto" w:fill="FFFFFF"/>
        </w:rPr>
        <w:t xml:space="preserve">specialist expertise in order to facilitate knowledge exchange, and </w:t>
      </w:r>
      <w:r w:rsidR="00314AA0">
        <w:rPr>
          <w:rFonts w:cstheme="minorHAnsi"/>
          <w:color w:val="000000" w:themeColor="text1"/>
          <w:shd w:val="clear" w:color="auto" w:fill="FFFFFF"/>
        </w:rPr>
        <w:t xml:space="preserve">to </w:t>
      </w:r>
      <w:r w:rsidRPr="00E8171E">
        <w:rPr>
          <w:rFonts w:cstheme="minorHAnsi"/>
          <w:color w:val="000000" w:themeColor="text1"/>
          <w:shd w:val="clear" w:color="auto" w:fill="FFFFFF"/>
        </w:rPr>
        <w:t>strengthen expertise in museum archaeology</w:t>
      </w:r>
      <w:r w:rsidR="00EC5283">
        <w:rPr>
          <w:rFonts w:cstheme="minorHAnsi"/>
          <w:color w:val="000000" w:themeColor="text1"/>
          <w:shd w:val="clear" w:color="auto" w:fill="FFFFFF"/>
        </w:rPr>
        <w:t xml:space="preserve"> </w:t>
      </w:r>
      <w:r w:rsidR="006D1C58">
        <w:rPr>
          <w:rFonts w:cstheme="minorHAnsi"/>
          <w:color w:val="000000" w:themeColor="text1"/>
          <w:shd w:val="clear" w:color="auto" w:fill="FFFFFF"/>
        </w:rPr>
        <w:t>(</w:t>
      </w:r>
      <w:r w:rsidR="00635339">
        <w:rPr>
          <w:rFonts w:cstheme="minorHAnsi"/>
          <w:color w:val="000000" w:themeColor="text1"/>
          <w:shd w:val="clear" w:color="auto" w:fill="FFFFFF"/>
        </w:rPr>
        <w:t xml:space="preserve">e.g. running </w:t>
      </w:r>
      <w:r w:rsidR="006D1C58">
        <w:rPr>
          <w:rFonts w:cstheme="minorHAnsi"/>
          <w:color w:val="000000" w:themeColor="text1"/>
          <w:shd w:val="clear" w:color="auto" w:fill="FFFFFF"/>
        </w:rPr>
        <w:t>workshops)</w:t>
      </w:r>
      <w:r w:rsidR="00635339">
        <w:rPr>
          <w:rFonts w:cstheme="minorHAnsi"/>
          <w:color w:val="000000" w:themeColor="text1"/>
          <w:shd w:val="clear" w:color="auto" w:fill="FFFFFF"/>
        </w:rPr>
        <w:t>.</w:t>
      </w:r>
    </w:p>
    <w:p w14:paraId="50220DE6" w14:textId="77777777" w:rsidR="000A39D0" w:rsidRDefault="000A39D0" w:rsidP="000A39D0">
      <w:pPr>
        <w:spacing w:after="0" w:line="240" w:lineRule="auto"/>
      </w:pPr>
    </w:p>
    <w:p w14:paraId="44E0BCC2" w14:textId="3D300EBC" w:rsidR="000C3DE9" w:rsidRPr="00314AA0" w:rsidRDefault="000C3DE9" w:rsidP="000C3DE9">
      <w:pPr>
        <w:spacing w:after="0" w:line="240" w:lineRule="auto"/>
        <w:rPr>
          <w:b/>
        </w:rPr>
      </w:pPr>
      <w:r w:rsidRPr="000C3DE9">
        <w:rPr>
          <w:b/>
        </w:rPr>
        <w:t>What we’ll fund</w:t>
      </w:r>
    </w:p>
    <w:p w14:paraId="73FD5FB8" w14:textId="0367A500" w:rsidR="000C3DE9" w:rsidRDefault="000C3DE9" w:rsidP="000C3DE9">
      <w:pPr>
        <w:spacing w:after="0" w:line="240" w:lineRule="auto"/>
      </w:pPr>
      <w:r>
        <w:t>Projects or activities</w:t>
      </w:r>
      <w:r w:rsidR="000A39D0">
        <w:t xml:space="preserve"> may include but are not limited to:</w:t>
      </w:r>
    </w:p>
    <w:p w14:paraId="5A4E015D" w14:textId="5C7EE8E7" w:rsidR="000A39D0" w:rsidRDefault="000A39D0" w:rsidP="000C3DE9">
      <w:pPr>
        <w:pStyle w:val="ListParagraph"/>
        <w:numPr>
          <w:ilvl w:val="0"/>
          <w:numId w:val="6"/>
        </w:numPr>
        <w:spacing w:after="0" w:line="240" w:lineRule="auto"/>
      </w:pPr>
      <w:r>
        <w:t>Museum visits and collections research</w:t>
      </w:r>
      <w:r w:rsidR="006D0A81">
        <w:t xml:space="preserve"> with defined outcomes</w:t>
      </w:r>
    </w:p>
    <w:p w14:paraId="7D973FCC" w14:textId="77777777" w:rsidR="000A39D0" w:rsidRDefault="000A39D0" w:rsidP="000C3DE9">
      <w:pPr>
        <w:pStyle w:val="ListParagraph"/>
        <w:numPr>
          <w:ilvl w:val="0"/>
          <w:numId w:val="6"/>
        </w:numPr>
        <w:spacing w:after="0" w:line="240" w:lineRule="auto"/>
      </w:pPr>
      <w:r>
        <w:t>Equipment and materials</w:t>
      </w:r>
    </w:p>
    <w:p w14:paraId="2E776E58" w14:textId="77777777" w:rsidR="000A39D0" w:rsidRDefault="000A39D0" w:rsidP="000C3DE9">
      <w:pPr>
        <w:pStyle w:val="ListParagraph"/>
        <w:numPr>
          <w:ilvl w:val="0"/>
          <w:numId w:val="6"/>
        </w:numPr>
        <w:spacing w:after="0" w:line="240" w:lineRule="auto"/>
      </w:pPr>
      <w:r>
        <w:t>Engagement or learning initiatives</w:t>
      </w:r>
    </w:p>
    <w:p w14:paraId="36D0FBEA" w14:textId="77777777" w:rsidR="000A39D0" w:rsidRDefault="000A39D0" w:rsidP="000C3DE9">
      <w:pPr>
        <w:pStyle w:val="ListParagraph"/>
        <w:numPr>
          <w:ilvl w:val="0"/>
          <w:numId w:val="6"/>
        </w:numPr>
        <w:spacing w:after="0" w:line="240" w:lineRule="auto"/>
      </w:pPr>
      <w:r>
        <w:t>Professional development</w:t>
      </w:r>
      <w:r w:rsidR="00FB127B">
        <w:t xml:space="preserve"> opportunities</w:t>
      </w:r>
    </w:p>
    <w:p w14:paraId="2CECB717" w14:textId="7FF30C7C" w:rsidR="000A39D0" w:rsidRDefault="00FB127B" w:rsidP="000A39D0">
      <w:pPr>
        <w:pStyle w:val="ListParagraph"/>
        <w:numPr>
          <w:ilvl w:val="0"/>
          <w:numId w:val="6"/>
        </w:numPr>
        <w:spacing w:after="0" w:line="240" w:lineRule="auto"/>
      </w:pPr>
      <w:r>
        <w:t>Design and print costs</w:t>
      </w:r>
      <w:r w:rsidR="00635339">
        <w:t>.</w:t>
      </w:r>
    </w:p>
    <w:p w14:paraId="1038A81A" w14:textId="77777777" w:rsidR="000A39D0" w:rsidRDefault="000A39D0" w:rsidP="000A39D0">
      <w:pPr>
        <w:spacing w:after="0" w:line="240" w:lineRule="auto"/>
      </w:pPr>
    </w:p>
    <w:p w14:paraId="6895B081" w14:textId="77777777" w:rsidR="00E03EBF" w:rsidRPr="00E03EBF" w:rsidRDefault="00E03EBF" w:rsidP="000A39D0">
      <w:pPr>
        <w:spacing w:after="0" w:line="240" w:lineRule="auto"/>
        <w:rPr>
          <w:b/>
        </w:rPr>
      </w:pPr>
      <w:r w:rsidRPr="00E03EBF">
        <w:rPr>
          <w:b/>
        </w:rPr>
        <w:t>Limitations</w:t>
      </w:r>
    </w:p>
    <w:p w14:paraId="51A13481" w14:textId="77777777" w:rsidR="000A39D0" w:rsidRDefault="000A39D0" w:rsidP="000A39D0">
      <w:pPr>
        <w:spacing w:after="0" w:line="240" w:lineRule="auto"/>
      </w:pPr>
      <w:r>
        <w:t>SMA will not offer funding to cover:</w:t>
      </w:r>
    </w:p>
    <w:p w14:paraId="30682B6E" w14:textId="15457333" w:rsidR="000A39D0" w:rsidRDefault="000A39D0" w:rsidP="000C3DE9">
      <w:pPr>
        <w:pStyle w:val="ListParagraph"/>
        <w:numPr>
          <w:ilvl w:val="0"/>
          <w:numId w:val="7"/>
        </w:numPr>
        <w:spacing w:after="0" w:line="240" w:lineRule="auto"/>
      </w:pPr>
      <w:r>
        <w:t>Staff costs</w:t>
      </w:r>
      <w:r w:rsidR="000C3DE9">
        <w:t xml:space="preserve">, </w:t>
      </w:r>
      <w:r w:rsidR="00314AA0">
        <w:t xml:space="preserve">or business-as-usual </w:t>
      </w:r>
      <w:r w:rsidR="000C3DE9">
        <w:t xml:space="preserve">running costs </w:t>
      </w:r>
      <w:r w:rsidR="00314AA0">
        <w:t>and</w:t>
      </w:r>
      <w:r w:rsidR="000C3DE9">
        <w:t xml:space="preserve"> overheads</w:t>
      </w:r>
    </w:p>
    <w:p w14:paraId="4513F05C" w14:textId="4876D3CD" w:rsidR="00314AA0" w:rsidRDefault="00314AA0" w:rsidP="000C3DE9">
      <w:pPr>
        <w:pStyle w:val="ListParagraph"/>
        <w:numPr>
          <w:ilvl w:val="0"/>
          <w:numId w:val="7"/>
        </w:numPr>
        <w:spacing w:after="0" w:line="240" w:lineRule="auto"/>
      </w:pPr>
      <w:r>
        <w:t>Staff out-of-pocket living expenses</w:t>
      </w:r>
    </w:p>
    <w:p w14:paraId="2756EA63" w14:textId="5E610234" w:rsidR="000A39D0" w:rsidRDefault="000A39D0" w:rsidP="000C3DE9">
      <w:pPr>
        <w:pStyle w:val="ListParagraph"/>
        <w:numPr>
          <w:ilvl w:val="0"/>
          <w:numId w:val="7"/>
        </w:numPr>
        <w:spacing w:after="0" w:line="240" w:lineRule="auto"/>
      </w:pPr>
      <w:r>
        <w:t>Acquisition of objects</w:t>
      </w:r>
      <w:r w:rsidR="00635339">
        <w:t>.</w:t>
      </w:r>
    </w:p>
    <w:p w14:paraId="4C6AA01F" w14:textId="77777777" w:rsidR="007B14B0" w:rsidRDefault="007B14B0"/>
    <w:p w14:paraId="5A231E4B" w14:textId="77777777" w:rsidR="00314AA0" w:rsidRDefault="00997AEE" w:rsidP="00314AA0">
      <w:pPr>
        <w:spacing w:after="0" w:line="240" w:lineRule="auto"/>
        <w:rPr>
          <w:b/>
        </w:rPr>
      </w:pPr>
      <w:r w:rsidRPr="00E03EBF">
        <w:rPr>
          <w:b/>
        </w:rPr>
        <w:t>Who should apply?</w:t>
      </w:r>
    </w:p>
    <w:p w14:paraId="20A79F6C" w14:textId="5569E280" w:rsidR="00E03EBF" w:rsidRPr="00314AA0" w:rsidRDefault="00997AEE" w:rsidP="00997AEE">
      <w:pPr>
        <w:rPr>
          <w:b/>
        </w:rPr>
      </w:pPr>
      <w:r>
        <w:t xml:space="preserve">We welcome </w:t>
      </w:r>
      <w:r w:rsidR="00635339">
        <w:t xml:space="preserve">applications </w:t>
      </w:r>
      <w:r>
        <w:t xml:space="preserve">from individual and institutional SMA members. </w:t>
      </w:r>
      <w:r w:rsidR="006D0A81">
        <w:t>Applicants do not need to have a paid position with a museum but should demonstrate public benefit in their application.</w:t>
      </w:r>
    </w:p>
    <w:p w14:paraId="599BB4C5" w14:textId="77777777" w:rsidR="00E03EBF" w:rsidRDefault="00E03EBF" w:rsidP="00314AA0">
      <w:pPr>
        <w:spacing w:after="0" w:line="240" w:lineRule="auto"/>
        <w:rPr>
          <w:b/>
        </w:rPr>
      </w:pPr>
      <w:r>
        <w:rPr>
          <w:b/>
        </w:rPr>
        <w:t>Funds available</w:t>
      </w:r>
    </w:p>
    <w:p w14:paraId="4572CECB" w14:textId="77777777" w:rsidR="00E03EBF" w:rsidRDefault="00E03EBF">
      <w:r>
        <w:t>We will consider applications of up to £750 (there is no lower limit).</w:t>
      </w:r>
    </w:p>
    <w:p w14:paraId="60742ACB" w14:textId="5BF65A89" w:rsidR="00E03EBF" w:rsidRDefault="00E03EBF">
      <w:r>
        <w:lastRenderedPageBreak/>
        <w:t xml:space="preserve">We will consider </w:t>
      </w:r>
      <w:r w:rsidR="006D0A81">
        <w:t>applications for both full and partial funding of projects. If the latter, details of match funding must be provided</w:t>
      </w:r>
      <w:r>
        <w:t xml:space="preserve">. </w:t>
      </w:r>
      <w:r w:rsidR="000A413F">
        <w:t>Where the number of applications deemed to have sufficient merit outweigh available grant funding, the grant panel may offer lower funding awards where this would not compromise the viability of the chosen projects.</w:t>
      </w:r>
      <w:r w:rsidR="00314AA0">
        <w:t xml:space="preserve"> </w:t>
      </w:r>
    </w:p>
    <w:p w14:paraId="3E1BEB74" w14:textId="77777777" w:rsidR="00E03EBF" w:rsidRPr="00E03EBF" w:rsidRDefault="00E03EBF" w:rsidP="000A413F">
      <w:pPr>
        <w:spacing w:after="0" w:line="240" w:lineRule="auto"/>
        <w:rPr>
          <w:b/>
        </w:rPr>
      </w:pPr>
      <w:r w:rsidRPr="00E03EBF">
        <w:rPr>
          <w:b/>
        </w:rPr>
        <w:t>How to apply</w:t>
      </w:r>
    </w:p>
    <w:p w14:paraId="50248EB1" w14:textId="13E859BA" w:rsidR="000C3DE9" w:rsidRDefault="00987DAD">
      <w:r>
        <w:t xml:space="preserve">The application to the grant award is via </w:t>
      </w:r>
      <w:hyperlink r:id="rId10" w:history="1">
        <w:hyperlink r:id="rId11" w:history="1">
          <w:r w:rsidRPr="003D4419">
            <w:rPr>
              <w:rStyle w:val="Hyperlink"/>
            </w:rPr>
            <w:t>application form only</w:t>
          </w:r>
        </w:hyperlink>
      </w:hyperlink>
      <w:r w:rsidR="006D0A81">
        <w:t xml:space="preserve">. </w:t>
      </w:r>
      <w:r w:rsidR="00EC5283" w:rsidRPr="00EC5283">
        <w:rPr>
          <w:color w:val="000000" w:themeColor="text1"/>
        </w:rPr>
        <w:t xml:space="preserve">If you need help or advice with your application, please </w:t>
      </w:r>
      <w:r w:rsidR="00EC5283">
        <w:rPr>
          <w:color w:val="000000" w:themeColor="text1"/>
        </w:rPr>
        <w:t>get in touch with</w:t>
      </w:r>
      <w:r w:rsidR="000A413F">
        <w:rPr>
          <w:color w:val="000000" w:themeColor="text1"/>
        </w:rPr>
        <w:t xml:space="preserve"> the </w:t>
      </w:r>
      <w:hyperlink r:id="rId12" w:history="1">
        <w:r w:rsidR="000A413F" w:rsidRPr="000112BB">
          <w:rPr>
            <w:rStyle w:val="Hyperlink"/>
          </w:rPr>
          <w:t>SMA</w:t>
        </w:r>
        <w:r w:rsidR="000112BB" w:rsidRPr="000112BB">
          <w:rPr>
            <w:rStyle w:val="Hyperlink"/>
          </w:rPr>
          <w:t xml:space="preserve"> Assistant Treasurer</w:t>
        </w:r>
      </w:hyperlink>
      <w:r w:rsidR="00EC5283" w:rsidRPr="00EC5283">
        <w:rPr>
          <w:color w:val="000000" w:themeColor="text1"/>
        </w:rPr>
        <w:t xml:space="preserve"> to discuss your potential project or activity</w:t>
      </w:r>
      <w:r w:rsidR="000C3DE9">
        <w:t xml:space="preserve">. We will be able to give </w:t>
      </w:r>
      <w:r w:rsidR="000C3DE9" w:rsidRPr="00E8171E">
        <w:t>you advice on eligibility, timescales</w:t>
      </w:r>
      <w:r w:rsidR="000A413F">
        <w:t>,</w:t>
      </w:r>
      <w:r w:rsidR="000C3DE9" w:rsidRPr="00E8171E">
        <w:t xml:space="preserve"> and deadlines for applications. </w:t>
      </w:r>
    </w:p>
    <w:p w14:paraId="2582F611" w14:textId="1AE4E67E" w:rsidR="000C3DE9" w:rsidRPr="000A413F" w:rsidRDefault="000C3DE9" w:rsidP="000A413F">
      <w:pPr>
        <w:spacing w:after="0" w:line="240" w:lineRule="auto"/>
      </w:pPr>
      <w:r w:rsidRPr="000A413F">
        <w:t>In the application form we will ask you to</w:t>
      </w:r>
      <w:r w:rsidR="000A413F">
        <w:t xml:space="preserve"> provide details of the following, where applicable</w:t>
      </w:r>
      <w:r w:rsidRPr="000A413F">
        <w:t xml:space="preserve">: </w:t>
      </w:r>
    </w:p>
    <w:p w14:paraId="2C26B4E1" w14:textId="069F0C9B" w:rsidR="000C3DE9" w:rsidRDefault="000A413F" w:rsidP="000C3DE9">
      <w:pPr>
        <w:pStyle w:val="ListParagraph"/>
        <w:numPr>
          <w:ilvl w:val="0"/>
          <w:numId w:val="11"/>
        </w:numPr>
      </w:pPr>
      <w:r>
        <w:t>T</w:t>
      </w:r>
      <w:r w:rsidR="000C3DE9">
        <w:t>he proposed project or activity</w:t>
      </w:r>
      <w:r>
        <w:t xml:space="preserve"> and</w:t>
      </w:r>
      <w:r w:rsidR="006D0A81">
        <w:t xml:space="preserve"> its public benefit,</w:t>
      </w:r>
      <w:r w:rsidR="000C3DE9">
        <w:t xml:space="preserve"> and </w:t>
      </w:r>
      <w:r>
        <w:t xml:space="preserve">to </w:t>
      </w:r>
      <w:r w:rsidR="000C3DE9">
        <w:t>explain how it meets the overall aims o</w:t>
      </w:r>
      <w:r w:rsidR="00E8171E">
        <w:t xml:space="preserve">f the </w:t>
      </w:r>
      <w:r w:rsidR="006D0A81">
        <w:t>grant scheme</w:t>
      </w:r>
    </w:p>
    <w:p w14:paraId="63F5F93F" w14:textId="354B1F0C" w:rsidR="000C3DE9" w:rsidRDefault="000A413F" w:rsidP="000C3DE9">
      <w:pPr>
        <w:pStyle w:val="ListParagraph"/>
        <w:numPr>
          <w:ilvl w:val="0"/>
          <w:numId w:val="11"/>
        </w:numPr>
      </w:pPr>
      <w:r>
        <w:t>H</w:t>
      </w:r>
      <w:r w:rsidR="000C3DE9">
        <w:t>ow the funding will be spent, including an indicative but realistic timeframe and a full budget breakdown</w:t>
      </w:r>
    </w:p>
    <w:p w14:paraId="5FD4CFCA" w14:textId="5A6B33F5" w:rsidR="006D0A81" w:rsidRDefault="000A413F" w:rsidP="000C3DE9">
      <w:pPr>
        <w:pStyle w:val="ListParagraph"/>
        <w:numPr>
          <w:ilvl w:val="0"/>
          <w:numId w:val="11"/>
        </w:numPr>
      </w:pPr>
      <w:r>
        <w:t>E</w:t>
      </w:r>
      <w:r w:rsidR="006D0A81">
        <w:t>stimates or quotations that you have received form third party suppliers</w:t>
      </w:r>
    </w:p>
    <w:p w14:paraId="74748B20" w14:textId="77777777" w:rsidR="003D4419" w:rsidRDefault="000A413F" w:rsidP="003D4419">
      <w:pPr>
        <w:pStyle w:val="ListParagraph"/>
        <w:numPr>
          <w:ilvl w:val="0"/>
          <w:numId w:val="11"/>
        </w:numPr>
      </w:pPr>
      <w:r>
        <w:t>Other funding sources</w:t>
      </w:r>
      <w:r w:rsidR="00635339">
        <w:t>.</w:t>
      </w:r>
      <w:r w:rsidR="00E8171E">
        <w:t xml:space="preserve"> </w:t>
      </w:r>
    </w:p>
    <w:p w14:paraId="23C12BD3" w14:textId="55605A0C" w:rsidR="003D4419" w:rsidRDefault="003D4419" w:rsidP="003D4419">
      <w:hyperlink r:id="rId13" w:history="1">
        <w:r w:rsidRPr="002E0763">
          <w:rPr>
            <w:rStyle w:val="Hyperlink"/>
          </w:rPr>
          <w:t>http://socmusarch.org.uk/socmusarch/gailmark/wordpress/wp-content/uploads/2024/02/Funding-award-application-form-2024-V1.docx</w:t>
        </w:r>
      </w:hyperlink>
    </w:p>
    <w:p w14:paraId="6C6E0193" w14:textId="128431BB" w:rsidR="00E03EBF" w:rsidRDefault="00890AFA" w:rsidP="003D4419">
      <w:r>
        <w:t>Applications must be submitted by the 31</w:t>
      </w:r>
      <w:r w:rsidRPr="003D4419">
        <w:rPr>
          <w:vertAlign w:val="superscript"/>
        </w:rPr>
        <w:t>st</w:t>
      </w:r>
      <w:r>
        <w:t xml:space="preserve"> of </w:t>
      </w:r>
      <w:r w:rsidR="00D56AE7">
        <w:t>May</w:t>
      </w:r>
      <w:r w:rsidR="00635339">
        <w:t>.</w:t>
      </w:r>
    </w:p>
    <w:p w14:paraId="533F5159" w14:textId="77777777" w:rsidR="00E03EBF" w:rsidRDefault="000C3DE9">
      <w:pPr>
        <w:rPr>
          <w:b/>
        </w:rPr>
      </w:pPr>
      <w:r w:rsidRPr="000C3DE9">
        <w:rPr>
          <w:b/>
        </w:rPr>
        <w:t xml:space="preserve">What happens </w:t>
      </w:r>
      <w:proofErr w:type="gramStart"/>
      <w:r w:rsidRPr="000C3DE9">
        <w:rPr>
          <w:b/>
        </w:rPr>
        <w:t>next</w:t>
      </w:r>
      <w:proofErr w:type="gramEnd"/>
    </w:p>
    <w:p w14:paraId="3F20A15E" w14:textId="4622C0C1" w:rsidR="00202B70" w:rsidRDefault="00202B70">
      <w:r>
        <w:t>All applications are assessed by the SMA committee</w:t>
      </w:r>
      <w:r w:rsidR="00635339">
        <w:t xml:space="preserve"> or</w:t>
      </w:r>
      <w:r>
        <w:t xml:space="preserve"> members</w:t>
      </w:r>
      <w:r w:rsidR="00635339">
        <w:t xml:space="preserve"> of a dedicated sub-committee</w:t>
      </w:r>
      <w:r>
        <w:t xml:space="preserve">. They will </w:t>
      </w:r>
      <w:r w:rsidR="00890AFA">
        <w:t>contact applicants to request further information if needed.</w:t>
      </w:r>
    </w:p>
    <w:p w14:paraId="61DB6B6A" w14:textId="3EC54CC8" w:rsidR="00202B70" w:rsidRDefault="00202B70">
      <w:r>
        <w:t xml:space="preserve">If your application is successful, we will inform you </w:t>
      </w:r>
      <w:r w:rsidR="0008163A">
        <w:t>foll</w:t>
      </w:r>
      <w:r w:rsidR="005F0329">
        <w:t>owing the decision process</w:t>
      </w:r>
      <w:r w:rsidR="00890AFA">
        <w:t xml:space="preserve"> and announce the award via </w:t>
      </w:r>
      <w:r w:rsidR="00635339">
        <w:t xml:space="preserve">our social </w:t>
      </w:r>
      <w:r w:rsidR="00890AFA">
        <w:t>media</w:t>
      </w:r>
      <w:r w:rsidR="00635339">
        <w:t xml:space="preserve"> outlets and on the</w:t>
      </w:r>
      <w:r w:rsidR="00890AFA">
        <w:t xml:space="preserve"> society’s website</w:t>
      </w:r>
      <w:r w:rsidR="005F0329">
        <w:t xml:space="preserve">. Successful </w:t>
      </w:r>
      <w:r w:rsidR="00BD00DD">
        <w:t xml:space="preserve">projects </w:t>
      </w:r>
      <w:r w:rsidR="0008163A">
        <w:t xml:space="preserve">will be </w:t>
      </w:r>
      <w:r w:rsidR="00635339">
        <w:t xml:space="preserve">invited to </w:t>
      </w:r>
      <w:r w:rsidR="00890AFA">
        <w:t>report</w:t>
      </w:r>
      <w:r w:rsidR="0008163A">
        <w:t xml:space="preserve"> at </w:t>
      </w:r>
      <w:r w:rsidR="00635339">
        <w:t>a subsequent</w:t>
      </w:r>
      <w:r w:rsidR="00890AFA">
        <w:t xml:space="preserve"> </w:t>
      </w:r>
      <w:r w:rsidR="0008163A">
        <w:t>annual SMA Conference</w:t>
      </w:r>
      <w:r w:rsidR="00DA2087">
        <w:t>.</w:t>
      </w:r>
    </w:p>
    <w:p w14:paraId="5A709D9C" w14:textId="41278516" w:rsidR="00890AFA" w:rsidRDefault="00890AFA">
      <w:r>
        <w:t>The decision of the committee is final.</w:t>
      </w:r>
    </w:p>
    <w:p w14:paraId="39B49A4C" w14:textId="77777777" w:rsidR="000C3DE9" w:rsidRDefault="000C3DE9">
      <w:pPr>
        <w:rPr>
          <w:b/>
        </w:rPr>
      </w:pPr>
      <w:r>
        <w:rPr>
          <w:b/>
        </w:rPr>
        <w:t>Terms and conditions</w:t>
      </w:r>
    </w:p>
    <w:p w14:paraId="609038D0" w14:textId="2A2505BB" w:rsidR="000C3DE9" w:rsidRDefault="00BD00DD">
      <w:r>
        <w:t>The following conditions are attached to the SMA Funding Award:</w:t>
      </w:r>
    </w:p>
    <w:p w14:paraId="3BB7C980" w14:textId="09241B46" w:rsidR="00BD00DD" w:rsidRDefault="00BD00DD" w:rsidP="00BD00DD">
      <w:pPr>
        <w:pStyle w:val="ListParagraph"/>
        <w:numPr>
          <w:ilvl w:val="0"/>
          <w:numId w:val="12"/>
        </w:numPr>
      </w:pPr>
      <w:r>
        <w:t>The grant must be used only for the project detailed in the application.</w:t>
      </w:r>
    </w:p>
    <w:p w14:paraId="49370FCA" w14:textId="171F75EE" w:rsidR="00116CAD" w:rsidRDefault="00116CAD" w:rsidP="00BD00DD">
      <w:pPr>
        <w:pStyle w:val="ListParagraph"/>
        <w:numPr>
          <w:ilvl w:val="0"/>
          <w:numId w:val="12"/>
        </w:numPr>
      </w:pPr>
      <w:r>
        <w:t xml:space="preserve">Any variation to the project plan must be discussed </w:t>
      </w:r>
      <w:r w:rsidR="000A05CD">
        <w:t xml:space="preserve">with the grant panel </w:t>
      </w:r>
      <w:r>
        <w:t>in advance.</w:t>
      </w:r>
    </w:p>
    <w:p w14:paraId="3FFCCD62" w14:textId="4A8781B5" w:rsidR="00BD00DD" w:rsidRDefault="00BD00DD" w:rsidP="00BD00DD">
      <w:pPr>
        <w:pStyle w:val="ListParagraph"/>
        <w:numPr>
          <w:ilvl w:val="0"/>
          <w:numId w:val="12"/>
        </w:numPr>
      </w:pPr>
      <w:r>
        <w:t>The grant is not a consideration for any taxable supply for VAT</w:t>
      </w:r>
      <w:r w:rsidR="00DA2087">
        <w:t>.</w:t>
      </w:r>
    </w:p>
    <w:p w14:paraId="6C352E8D" w14:textId="12CAFAAE" w:rsidR="00BD00DD" w:rsidRDefault="000A05CD" w:rsidP="00BD00DD">
      <w:pPr>
        <w:pStyle w:val="ListParagraph"/>
        <w:numPr>
          <w:ilvl w:val="0"/>
          <w:numId w:val="12"/>
        </w:numPr>
      </w:pPr>
      <w:r>
        <w:t>The SMA’s</w:t>
      </w:r>
      <w:r w:rsidR="00BD00DD">
        <w:t xml:space="preserve"> contribution to the Project must be acknowledge</w:t>
      </w:r>
      <w:r w:rsidR="00635339">
        <w:t>d</w:t>
      </w:r>
      <w:r w:rsidR="00BD00DD">
        <w:t xml:space="preserve"> in all literature and /or other materials generated by </w:t>
      </w:r>
      <w:r w:rsidR="00635339">
        <w:t xml:space="preserve">award recipients </w:t>
      </w:r>
      <w:r w:rsidR="00BD00DD">
        <w:t>to publicise the project</w:t>
      </w:r>
      <w:r>
        <w:t>, including but not limited to publications, interpretation panels and signage, and resources</w:t>
      </w:r>
      <w:r w:rsidR="00BD00DD">
        <w:t xml:space="preserve">. </w:t>
      </w:r>
    </w:p>
    <w:p w14:paraId="7D7423BA" w14:textId="1432C328" w:rsidR="00BD00DD" w:rsidRDefault="00306B11" w:rsidP="00BD00DD">
      <w:pPr>
        <w:pStyle w:val="ListParagraph"/>
        <w:numPr>
          <w:ilvl w:val="0"/>
          <w:numId w:val="12"/>
        </w:numPr>
      </w:pPr>
      <w:r>
        <w:t xml:space="preserve">You agree to participate and present </w:t>
      </w:r>
      <w:r w:rsidR="000A05CD">
        <w:t>the p</w:t>
      </w:r>
      <w:r>
        <w:t xml:space="preserve">roject </w:t>
      </w:r>
      <w:r w:rsidR="00635339">
        <w:t>at a subsequent</w:t>
      </w:r>
      <w:r>
        <w:t xml:space="preserve"> SMA conference</w:t>
      </w:r>
      <w:r w:rsidR="00566722">
        <w:t xml:space="preserve"> (costs covered by the SMA</w:t>
      </w:r>
      <w:r w:rsidR="006D0A81">
        <w:t xml:space="preserve"> in line with SMA’s travel and subsistence policy</w:t>
      </w:r>
      <w:r w:rsidR="00566722">
        <w:t>)</w:t>
      </w:r>
      <w:r w:rsidR="00DA2087">
        <w:t>.</w:t>
      </w:r>
      <w:r>
        <w:t xml:space="preserve"> </w:t>
      </w:r>
    </w:p>
    <w:p w14:paraId="77AEA0E3" w14:textId="444B2930" w:rsidR="009F7042" w:rsidRDefault="009F7042" w:rsidP="00DA2087">
      <w:pPr>
        <w:pStyle w:val="ListParagraph"/>
        <w:numPr>
          <w:ilvl w:val="0"/>
          <w:numId w:val="12"/>
        </w:numPr>
      </w:pPr>
      <w:r>
        <w:lastRenderedPageBreak/>
        <w:t xml:space="preserve">You will provide us with </w:t>
      </w:r>
      <w:r w:rsidR="000A05CD">
        <w:t>regular updates throughout the p</w:t>
      </w:r>
      <w:r>
        <w:t>roject and with an evalu</w:t>
      </w:r>
      <w:r w:rsidR="000A05CD">
        <w:t>ation report at the end of the p</w:t>
      </w:r>
      <w:r>
        <w:t>roject</w:t>
      </w:r>
      <w:r w:rsidR="00E8171E">
        <w:t xml:space="preserve">, </w:t>
      </w:r>
      <w:r w:rsidR="00987DAD">
        <w:t xml:space="preserve">which will be used as the basis of a contribution to the SMA’s </w:t>
      </w:r>
      <w:r w:rsidR="000A05CD">
        <w:t>n</w:t>
      </w:r>
      <w:r w:rsidR="00987DAD">
        <w:t>ewsletter.</w:t>
      </w:r>
    </w:p>
    <w:p w14:paraId="5C10BF29" w14:textId="1D1580D2" w:rsidR="00890AFA" w:rsidRDefault="00890AFA" w:rsidP="00DA2087">
      <w:pPr>
        <w:pStyle w:val="ListParagraph"/>
        <w:numPr>
          <w:ilvl w:val="0"/>
          <w:numId w:val="12"/>
        </w:numPr>
      </w:pPr>
      <w:r>
        <w:t xml:space="preserve">Payments </w:t>
      </w:r>
      <w:r w:rsidR="000A05CD">
        <w:t>may</w:t>
      </w:r>
      <w:r>
        <w:t xml:space="preserve"> be made in stages depending on the project plan</w:t>
      </w:r>
      <w:r w:rsidR="000A05CD">
        <w:t>, as agreed by the awarding grant panel</w:t>
      </w:r>
      <w:r>
        <w:t>.</w:t>
      </w:r>
    </w:p>
    <w:p w14:paraId="54593594" w14:textId="23135CD1" w:rsidR="00116CAD" w:rsidRPr="000C3DE9" w:rsidRDefault="00635339" w:rsidP="00DA2087">
      <w:pPr>
        <w:pStyle w:val="ListParagraph"/>
        <w:numPr>
          <w:ilvl w:val="0"/>
          <w:numId w:val="12"/>
        </w:numPr>
      </w:pPr>
      <w:r>
        <w:t xml:space="preserve">Award recipients will be asked to supply </w:t>
      </w:r>
      <w:r w:rsidR="00116CAD">
        <w:t>bank details</w:t>
      </w:r>
      <w:r w:rsidR="001279FA">
        <w:t xml:space="preserve"> </w:t>
      </w:r>
      <w:r>
        <w:t>in order to effect payment.</w:t>
      </w:r>
      <w:r w:rsidR="00116CAD">
        <w:t xml:space="preserve"> </w:t>
      </w:r>
    </w:p>
    <w:sectPr w:rsidR="00116CAD" w:rsidRPr="000C3DE9" w:rsidSect="007B14B0">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0D40" w14:textId="77777777" w:rsidR="000112BB" w:rsidRDefault="000112BB" w:rsidP="000112BB">
      <w:pPr>
        <w:spacing w:after="0" w:line="240" w:lineRule="auto"/>
      </w:pPr>
      <w:r>
        <w:separator/>
      </w:r>
    </w:p>
  </w:endnote>
  <w:endnote w:type="continuationSeparator" w:id="0">
    <w:p w14:paraId="3A623420" w14:textId="77777777" w:rsidR="000112BB" w:rsidRDefault="000112BB" w:rsidP="0001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1DCA" w14:textId="0E7CB7C3" w:rsidR="001E1F4C" w:rsidRDefault="001E1F4C">
    <w:pPr>
      <w:pStyle w:val="Footer"/>
    </w:pPr>
    <w:r>
      <w:rPr>
        <w:noProof/>
        <w:lang w:eastAsia="en-GB"/>
      </w:rPr>
      <w:drawing>
        <wp:anchor distT="0" distB="0" distL="114300" distR="114300" simplePos="0" relativeHeight="251658240" behindDoc="0" locked="0" layoutInCell="1" allowOverlap="1" wp14:anchorId="08D70150" wp14:editId="1FE4D1BC">
          <wp:simplePos x="0" y="0"/>
          <wp:positionH relativeFrom="column">
            <wp:posOffset>-323850</wp:posOffset>
          </wp:positionH>
          <wp:positionV relativeFrom="paragraph">
            <wp:posOffset>-294005</wp:posOffset>
          </wp:positionV>
          <wp:extent cx="2476499" cy="619125"/>
          <wp:effectExtent l="0" t="0" r="635" b="0"/>
          <wp:wrapThrough wrapText="bothSides">
            <wp:wrapPolygon edited="0">
              <wp:start x="0" y="0"/>
              <wp:lineTo x="0" y="20603"/>
              <wp:lineTo x="21439" y="20603"/>
              <wp:lineTo x="21439" y="0"/>
              <wp:lineTo x="0" y="0"/>
            </wp:wrapPolygon>
          </wp:wrapThrough>
          <wp:docPr id="1" name="Picture 1" descr="http://socmusarch.org.uk/socmusarch/gailmark/wordpress/wp-content/uploads/2016/06/cropped-SMA_icon-and-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musarch.org.uk/socmusarch/gailmark/wordpress/wp-content/uploads/2016/06/cropped-SMA_icon-and-wor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6499" cy="6191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14DD" w14:textId="77777777" w:rsidR="000112BB" w:rsidRDefault="000112BB" w:rsidP="000112BB">
      <w:pPr>
        <w:spacing w:after="0" w:line="240" w:lineRule="auto"/>
      </w:pPr>
      <w:r>
        <w:separator/>
      </w:r>
    </w:p>
  </w:footnote>
  <w:footnote w:type="continuationSeparator" w:id="0">
    <w:p w14:paraId="423BBE29" w14:textId="77777777" w:rsidR="000112BB" w:rsidRDefault="000112BB" w:rsidP="00011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0ED7"/>
    <w:multiLevelType w:val="hybridMultilevel"/>
    <w:tmpl w:val="39B675FC"/>
    <w:lvl w:ilvl="0" w:tplc="1996D6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31178"/>
    <w:multiLevelType w:val="hybridMultilevel"/>
    <w:tmpl w:val="D1845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77C3D"/>
    <w:multiLevelType w:val="hybridMultilevel"/>
    <w:tmpl w:val="02783622"/>
    <w:lvl w:ilvl="0" w:tplc="1996D6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41CCB"/>
    <w:multiLevelType w:val="hybridMultilevel"/>
    <w:tmpl w:val="BDE48852"/>
    <w:lvl w:ilvl="0" w:tplc="2B386B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147852"/>
    <w:multiLevelType w:val="hybridMultilevel"/>
    <w:tmpl w:val="500C5EBC"/>
    <w:lvl w:ilvl="0" w:tplc="322E87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306CB"/>
    <w:multiLevelType w:val="hybridMultilevel"/>
    <w:tmpl w:val="AA5A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C60DB"/>
    <w:multiLevelType w:val="hybridMultilevel"/>
    <w:tmpl w:val="6FDE2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CD0BA7"/>
    <w:multiLevelType w:val="hybridMultilevel"/>
    <w:tmpl w:val="FBD6E7C8"/>
    <w:lvl w:ilvl="0" w:tplc="2B386B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45696"/>
    <w:multiLevelType w:val="hybridMultilevel"/>
    <w:tmpl w:val="25E8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23587"/>
    <w:multiLevelType w:val="hybridMultilevel"/>
    <w:tmpl w:val="95A4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A0D11"/>
    <w:multiLevelType w:val="hybridMultilevel"/>
    <w:tmpl w:val="035E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87F9F"/>
    <w:multiLevelType w:val="hybridMultilevel"/>
    <w:tmpl w:val="8BFC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747460">
    <w:abstractNumId w:val="6"/>
  </w:num>
  <w:num w:numId="2" w16cid:durableId="246153727">
    <w:abstractNumId w:val="4"/>
  </w:num>
  <w:num w:numId="3" w16cid:durableId="1238439344">
    <w:abstractNumId w:val="0"/>
  </w:num>
  <w:num w:numId="4" w16cid:durableId="290328038">
    <w:abstractNumId w:val="2"/>
  </w:num>
  <w:num w:numId="5" w16cid:durableId="1233000558">
    <w:abstractNumId w:val="11"/>
  </w:num>
  <w:num w:numId="6" w16cid:durableId="1712413465">
    <w:abstractNumId w:val="8"/>
  </w:num>
  <w:num w:numId="7" w16cid:durableId="2022000378">
    <w:abstractNumId w:val="10"/>
  </w:num>
  <w:num w:numId="8" w16cid:durableId="354622290">
    <w:abstractNumId w:val="9"/>
  </w:num>
  <w:num w:numId="9" w16cid:durableId="1433932477">
    <w:abstractNumId w:val="7"/>
  </w:num>
  <w:num w:numId="10" w16cid:durableId="770399552">
    <w:abstractNumId w:val="3"/>
  </w:num>
  <w:num w:numId="11" w16cid:durableId="1053844991">
    <w:abstractNumId w:val="5"/>
  </w:num>
  <w:num w:numId="12" w16cid:durableId="1040087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9D0"/>
    <w:rsid w:val="000112BB"/>
    <w:rsid w:val="0008163A"/>
    <w:rsid w:val="000A05CD"/>
    <w:rsid w:val="000A39D0"/>
    <w:rsid w:val="000A413F"/>
    <w:rsid w:val="000A7477"/>
    <w:rsid w:val="000C3DE9"/>
    <w:rsid w:val="000F5987"/>
    <w:rsid w:val="00116CAD"/>
    <w:rsid w:val="001279FA"/>
    <w:rsid w:val="001E1F4C"/>
    <w:rsid w:val="00202B70"/>
    <w:rsid w:val="00262684"/>
    <w:rsid w:val="00306B11"/>
    <w:rsid w:val="00314AA0"/>
    <w:rsid w:val="003578C7"/>
    <w:rsid w:val="003D4419"/>
    <w:rsid w:val="004A4596"/>
    <w:rsid w:val="004D47D3"/>
    <w:rsid w:val="00566722"/>
    <w:rsid w:val="005D7AAD"/>
    <w:rsid w:val="005F0329"/>
    <w:rsid w:val="00635339"/>
    <w:rsid w:val="006D0A81"/>
    <w:rsid w:val="006D1C58"/>
    <w:rsid w:val="00745034"/>
    <w:rsid w:val="007B14B0"/>
    <w:rsid w:val="007E77A7"/>
    <w:rsid w:val="00890AFA"/>
    <w:rsid w:val="00987DAD"/>
    <w:rsid w:val="00997AEE"/>
    <w:rsid w:val="009F7042"/>
    <w:rsid w:val="00A247E7"/>
    <w:rsid w:val="00B02A94"/>
    <w:rsid w:val="00BD00DD"/>
    <w:rsid w:val="00C573BE"/>
    <w:rsid w:val="00D17A5A"/>
    <w:rsid w:val="00D56AE7"/>
    <w:rsid w:val="00DA1731"/>
    <w:rsid w:val="00DA2087"/>
    <w:rsid w:val="00DB681C"/>
    <w:rsid w:val="00E03EBF"/>
    <w:rsid w:val="00E8171E"/>
    <w:rsid w:val="00EC5283"/>
    <w:rsid w:val="00EF3DC2"/>
    <w:rsid w:val="00F21A8F"/>
    <w:rsid w:val="00FB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EDC9"/>
  <w15:docId w15:val="{43FBDE10-F109-40BE-8B82-BA9931C0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9D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9D0"/>
    <w:pPr>
      <w:ind w:left="720"/>
      <w:contextualSpacing/>
    </w:pPr>
  </w:style>
  <w:style w:type="character" w:styleId="CommentReference">
    <w:name w:val="annotation reference"/>
    <w:basedOn w:val="DefaultParagraphFont"/>
    <w:uiPriority w:val="99"/>
    <w:semiHidden/>
    <w:unhideWhenUsed/>
    <w:rsid w:val="000C3DE9"/>
    <w:rPr>
      <w:sz w:val="16"/>
      <w:szCs w:val="16"/>
    </w:rPr>
  </w:style>
  <w:style w:type="paragraph" w:styleId="CommentText">
    <w:name w:val="annotation text"/>
    <w:basedOn w:val="Normal"/>
    <w:link w:val="CommentTextChar"/>
    <w:uiPriority w:val="99"/>
    <w:semiHidden/>
    <w:unhideWhenUsed/>
    <w:rsid w:val="000C3DE9"/>
    <w:pPr>
      <w:spacing w:line="240" w:lineRule="auto"/>
    </w:pPr>
    <w:rPr>
      <w:sz w:val="20"/>
      <w:szCs w:val="20"/>
    </w:rPr>
  </w:style>
  <w:style w:type="character" w:customStyle="1" w:styleId="CommentTextChar">
    <w:name w:val="Comment Text Char"/>
    <w:basedOn w:val="DefaultParagraphFont"/>
    <w:link w:val="CommentText"/>
    <w:uiPriority w:val="99"/>
    <w:semiHidden/>
    <w:rsid w:val="000C3DE9"/>
    <w:rPr>
      <w:sz w:val="20"/>
      <w:szCs w:val="20"/>
      <w:lang w:val="en-GB"/>
    </w:rPr>
  </w:style>
  <w:style w:type="paragraph" w:styleId="CommentSubject">
    <w:name w:val="annotation subject"/>
    <w:basedOn w:val="CommentText"/>
    <w:next w:val="CommentText"/>
    <w:link w:val="CommentSubjectChar"/>
    <w:uiPriority w:val="99"/>
    <w:semiHidden/>
    <w:unhideWhenUsed/>
    <w:rsid w:val="000C3DE9"/>
    <w:rPr>
      <w:b/>
      <w:bCs/>
    </w:rPr>
  </w:style>
  <w:style w:type="character" w:customStyle="1" w:styleId="CommentSubjectChar">
    <w:name w:val="Comment Subject Char"/>
    <w:basedOn w:val="CommentTextChar"/>
    <w:link w:val="CommentSubject"/>
    <w:uiPriority w:val="99"/>
    <w:semiHidden/>
    <w:rsid w:val="000C3DE9"/>
    <w:rPr>
      <w:b/>
      <w:bCs/>
      <w:sz w:val="20"/>
      <w:szCs w:val="20"/>
      <w:lang w:val="en-GB"/>
    </w:rPr>
  </w:style>
  <w:style w:type="paragraph" w:styleId="BalloonText">
    <w:name w:val="Balloon Text"/>
    <w:basedOn w:val="Normal"/>
    <w:link w:val="BalloonTextChar"/>
    <w:uiPriority w:val="99"/>
    <w:semiHidden/>
    <w:unhideWhenUsed/>
    <w:rsid w:val="000C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DE9"/>
    <w:rPr>
      <w:rFonts w:ascii="Tahoma" w:hAnsi="Tahoma" w:cs="Tahoma"/>
      <w:sz w:val="16"/>
      <w:szCs w:val="16"/>
      <w:lang w:val="en-GB"/>
    </w:rPr>
  </w:style>
  <w:style w:type="paragraph" w:styleId="Revision">
    <w:name w:val="Revision"/>
    <w:hidden/>
    <w:uiPriority w:val="99"/>
    <w:semiHidden/>
    <w:rsid w:val="00314AA0"/>
    <w:pPr>
      <w:spacing w:after="0" w:line="240" w:lineRule="auto"/>
    </w:pPr>
    <w:rPr>
      <w:lang w:val="en-GB"/>
    </w:rPr>
  </w:style>
  <w:style w:type="character" w:styleId="Hyperlink">
    <w:name w:val="Hyperlink"/>
    <w:basedOn w:val="DefaultParagraphFont"/>
    <w:uiPriority w:val="99"/>
    <w:unhideWhenUsed/>
    <w:rsid w:val="000A413F"/>
    <w:rPr>
      <w:color w:val="0000FF" w:themeColor="hyperlink"/>
      <w:u w:val="single"/>
    </w:rPr>
  </w:style>
  <w:style w:type="paragraph" w:styleId="Header">
    <w:name w:val="header"/>
    <w:basedOn w:val="Normal"/>
    <w:link w:val="HeaderChar"/>
    <w:uiPriority w:val="99"/>
    <w:unhideWhenUsed/>
    <w:rsid w:val="00011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2BB"/>
    <w:rPr>
      <w:lang w:val="en-GB"/>
    </w:rPr>
  </w:style>
  <w:style w:type="paragraph" w:styleId="Footer">
    <w:name w:val="footer"/>
    <w:basedOn w:val="Normal"/>
    <w:link w:val="FooterChar"/>
    <w:uiPriority w:val="99"/>
    <w:unhideWhenUsed/>
    <w:rsid w:val="00011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2BB"/>
    <w:rPr>
      <w:lang w:val="en-GB"/>
    </w:rPr>
  </w:style>
  <w:style w:type="character" w:styleId="UnresolvedMention">
    <w:name w:val="Unresolved Mention"/>
    <w:basedOn w:val="DefaultParagraphFont"/>
    <w:uiPriority w:val="99"/>
    <w:semiHidden/>
    <w:unhideWhenUsed/>
    <w:rsid w:val="003D4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21882">
      <w:bodyDiv w:val="1"/>
      <w:marLeft w:val="0"/>
      <w:marRight w:val="0"/>
      <w:marTop w:val="0"/>
      <w:marBottom w:val="0"/>
      <w:divBdr>
        <w:top w:val="none" w:sz="0" w:space="0" w:color="auto"/>
        <w:left w:val="none" w:sz="0" w:space="0" w:color="auto"/>
        <w:bottom w:val="none" w:sz="0" w:space="0" w:color="auto"/>
        <w:right w:val="none" w:sz="0" w:space="0" w:color="auto"/>
      </w:divBdr>
    </w:div>
    <w:div w:id="18009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cmusarch.org.uk/socmusarch/gailmark/wordpress/wp-content/uploads/2024/02/Funding-award-application-form-2024-V1.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barrett@museumoflondo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musarch.org.uk/sma-funding-award-application-for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cmusarch.org.uk/socmusarch/gailmark/wordpress/wp-content/uploads/2024/02/Funding-award-application-form-2024-V1.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AA4C0ECBF824387889030A1D4BD31" ma:contentTypeVersion="16" ma:contentTypeDescription="Create a new document." ma:contentTypeScope="" ma:versionID="7463c66c1245b27806fa09c7bb2c7fd5">
  <xsd:schema xmlns:xsd="http://www.w3.org/2001/XMLSchema" xmlns:xs="http://www.w3.org/2001/XMLSchema" xmlns:p="http://schemas.microsoft.com/office/2006/metadata/properties" xmlns:ns3="8e6bbdc5-e50e-4de9-ab72-42d360eaafa0" xmlns:ns4="1baef7de-4140-4531-933c-004722ec3ab2" targetNamespace="http://schemas.microsoft.com/office/2006/metadata/properties" ma:root="true" ma:fieldsID="2e2b517129a419cc8f9b90da7ea857f2" ns3:_="" ns4:_="">
    <xsd:import namespace="8e6bbdc5-e50e-4de9-ab72-42d360eaafa0"/>
    <xsd:import namespace="1baef7de-4140-4531-933c-004722ec3a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bbdc5-e50e-4de9-ab72-42d360eaa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ef7de-4140-4531-933c-004722ec3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e6bbdc5-e50e-4de9-ab72-42d360eaafa0" xsi:nil="true"/>
  </documentManagement>
</p:properties>
</file>

<file path=customXml/itemProps1.xml><?xml version="1.0" encoding="utf-8"?>
<ds:datastoreItem xmlns:ds="http://schemas.openxmlformats.org/officeDocument/2006/customXml" ds:itemID="{0CB02418-DC68-4C11-892E-1DC4EF0AF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bbdc5-e50e-4de9-ab72-42d360eaafa0"/>
    <ds:schemaRef ds:uri="1baef7de-4140-4531-933c-004722ec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F3398-66C5-4470-91F7-29C7D865DEC3}">
  <ds:schemaRefs>
    <ds:schemaRef ds:uri="http://schemas.microsoft.com/sharepoint/v3/contenttype/forms"/>
  </ds:schemaRefs>
</ds:datastoreItem>
</file>

<file path=customXml/itemProps3.xml><?xml version="1.0" encoding="utf-8"?>
<ds:datastoreItem xmlns:ds="http://schemas.openxmlformats.org/officeDocument/2006/customXml" ds:itemID="{D5B9A355-AD41-4757-A73D-C9C82079DC6D}">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8e6bbdc5-e50e-4de9-ab72-42d360eaafa0"/>
    <ds:schemaRef ds:uri="http://schemas.openxmlformats.org/package/2006/metadata/core-properties"/>
    <ds:schemaRef ds:uri="1baef7de-4140-4531-933c-004722ec3ab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Gail Boyle</cp:lastModifiedBy>
  <cp:revision>2</cp:revision>
  <dcterms:created xsi:type="dcterms:W3CDTF">2024-02-28T09:57:00Z</dcterms:created>
  <dcterms:modified xsi:type="dcterms:W3CDTF">2024-02-28T09:57:00Z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0x010100ED9AA4C0ECBF824387889030A1D4BD31</vt:lpwstr>
  </property>
</Properties>
</file>